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ind w:left="3720"/>
        <w:rPr>
          <w:rFonts w:asciiTheme="minorHAnsi" w:hAnsiTheme="minorHAnsi"/>
          <w:sz w:val="20"/>
          <w:szCs w:val="20"/>
        </w:rPr>
      </w:pPr>
      <w:bookmarkStart w:id="0" w:name="page1"/>
      <w:bookmarkEnd w:id="0"/>
      <w:r w:rsidRPr="00AC6227">
        <w:rPr>
          <w:rFonts w:asciiTheme="minorHAnsi" w:hAnsiTheme="minorHAnsi" w:cs="Calibri"/>
          <w:b/>
          <w:bCs/>
          <w:sz w:val="20"/>
          <w:szCs w:val="20"/>
        </w:rPr>
        <w:t>FIŞA DISCIPLINEI</w:t>
      </w: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AC6227">
        <w:rPr>
          <w:rFonts w:asciiTheme="minorHAnsi" w:hAnsiTheme="minorHAnsi" w:cs="Calibri"/>
          <w:b/>
          <w:bCs/>
          <w:sz w:val="20"/>
          <w:szCs w:val="20"/>
        </w:rPr>
        <w:t>1.Datedespre</w:t>
      </w:r>
      <w:proofErr w:type="gramEnd"/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9C189D" w:rsidRPr="00AC6227" w:rsidTr="000C1728">
        <w:trPr>
          <w:trHeight w:val="295"/>
        </w:trPr>
        <w:tc>
          <w:tcPr>
            <w:tcW w:w="280" w:type="dxa"/>
            <w:vAlign w:val="bottom"/>
          </w:tcPr>
          <w:p w:rsidR="009C189D" w:rsidRPr="00AC6227" w:rsidRDefault="003B5518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9C189D" w:rsidRPr="00AC6227">
              <w:rPr>
                <w:rFonts w:asciiTheme="minorHAnsi" w:hAnsiTheme="minorHAnsi"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Instituţia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9C189D" w:rsidRPr="00AC6227" w:rsidTr="000C1728">
        <w:trPr>
          <w:trHeight w:val="266"/>
        </w:trPr>
        <w:tc>
          <w:tcPr>
            <w:tcW w:w="2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Facultatea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9C189D" w:rsidRPr="00AC6227" w:rsidRDefault="009C189D" w:rsidP="003C15CA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FACU</w:t>
            </w:r>
            <w:r w:rsidR="003C15C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LTATEA DE SOCIOLOGIE SI ASISTEN</w:t>
            </w:r>
            <w:r w:rsidR="003C15CA">
              <w:rPr>
                <w:rFonts w:asciiTheme="minorHAnsi" w:hAnsiTheme="minorHAnsi" w:cs="Calibri"/>
                <w:b/>
                <w:bCs/>
                <w:sz w:val="20"/>
                <w:szCs w:val="20"/>
                <w:lang w:val="ro-RO"/>
              </w:rPr>
              <w:t>ȚĂ</w:t>
            </w: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SOCIAL</w:t>
            </w:r>
            <w:r w:rsidR="003C15C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Ă</w:t>
            </w:r>
          </w:p>
        </w:tc>
      </w:tr>
      <w:tr w:rsidR="009C189D" w:rsidRPr="00AC6227" w:rsidTr="000C1728">
        <w:trPr>
          <w:trHeight w:val="260"/>
        </w:trPr>
        <w:tc>
          <w:tcPr>
            <w:tcW w:w="2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DEPARTAMENTUL DE SOCIOLOGIE</w:t>
            </w:r>
          </w:p>
        </w:tc>
      </w:tr>
      <w:tr w:rsidR="009C189D" w:rsidRPr="00AC6227" w:rsidTr="000C1728">
        <w:trPr>
          <w:trHeight w:val="264"/>
        </w:trPr>
        <w:tc>
          <w:tcPr>
            <w:tcW w:w="2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Domeniul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9C189D" w:rsidRPr="00AC6227" w:rsidTr="000C1728">
        <w:trPr>
          <w:trHeight w:val="266"/>
        </w:trPr>
        <w:tc>
          <w:tcPr>
            <w:tcW w:w="2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Ciclul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9C189D" w:rsidRPr="00AC6227" w:rsidRDefault="00E35921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9C189D" w:rsidRPr="00AC6227" w:rsidTr="000C1728">
        <w:trPr>
          <w:trHeight w:val="238"/>
        </w:trPr>
        <w:tc>
          <w:tcPr>
            <w:tcW w:w="2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Programul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studii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9C189D" w:rsidRPr="00E76194" w:rsidRDefault="00367AB6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b/>
                <w:sz w:val="20"/>
                <w:szCs w:val="20"/>
              </w:rPr>
            </w:pPr>
            <w:r w:rsidRPr="00541A07">
              <w:rPr>
                <w:rFonts w:cs="Calibri"/>
                <w:b/>
                <w:bCs/>
                <w:sz w:val="20"/>
                <w:szCs w:val="20"/>
                <w:lang w:val="ro-RO"/>
              </w:rPr>
              <w:t>POLITICI PUBLICE ȘI MANAGEMENT</w:t>
            </w: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41A07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ÎN    ADMINISTRAȚIA PUBLICĂ</w:t>
            </w:r>
          </w:p>
        </w:tc>
      </w:tr>
      <w:tr w:rsidR="009C189D" w:rsidRPr="00AC6227" w:rsidTr="000C1728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proofErr w:type="gramStart"/>
      <w:r w:rsidRPr="00AC6227">
        <w:rPr>
          <w:rFonts w:asciiTheme="minorHAnsi" w:hAnsiTheme="minorHAnsi" w:cs="Calibri"/>
          <w:b/>
          <w:bCs/>
          <w:sz w:val="20"/>
          <w:szCs w:val="20"/>
        </w:rPr>
        <w:t>2.Datedespredisciplină</w:t>
      </w:r>
      <w:proofErr w:type="gram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9C189D" w:rsidRPr="00AC6227" w:rsidTr="000C1728">
        <w:trPr>
          <w:trHeight w:val="300"/>
        </w:trPr>
        <w:tc>
          <w:tcPr>
            <w:tcW w:w="281" w:type="dxa"/>
            <w:vAlign w:val="bottom"/>
          </w:tcPr>
          <w:p w:rsidR="009C189D" w:rsidRPr="00AC6227" w:rsidRDefault="003B5518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57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576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9C189D" w:rsidRPr="00AC6227">
              <w:rPr>
                <w:rFonts w:asciiTheme="minorHAnsi" w:hAnsiTheme="minorHAnsi"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Denumirea</w:t>
            </w:r>
            <w:proofErr w:type="spellEnd"/>
            <w:r w:rsidR="00BD7A3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9C189D" w:rsidRPr="00AC6227" w:rsidRDefault="003A5214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lang w:val="ro-RO"/>
              </w:rPr>
            </w:pPr>
            <w:r>
              <w:rPr>
                <w:rFonts w:asciiTheme="minorHAnsi" w:hAnsiTheme="minorHAnsi"/>
                <w:sz w:val="20"/>
                <w:szCs w:val="20"/>
                <w:lang w:val="ro-RO"/>
              </w:rPr>
              <w:t>Economie socială</w:t>
            </w:r>
          </w:p>
        </w:tc>
      </w:tr>
      <w:tr w:rsidR="009C189D" w:rsidRPr="00AC6227" w:rsidTr="000C1728">
        <w:trPr>
          <w:trHeight w:val="261"/>
        </w:trPr>
        <w:tc>
          <w:tcPr>
            <w:tcW w:w="281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BD7A3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9C189D" w:rsidRPr="00AC6227" w:rsidRDefault="004B4DA7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Prof.univ.dr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3A5214">
              <w:rPr>
                <w:rFonts w:asciiTheme="minorHAnsi" w:hAnsiTheme="minorHAnsi"/>
                <w:sz w:val="20"/>
                <w:szCs w:val="20"/>
              </w:rPr>
              <w:t>Mihaela</w:t>
            </w:r>
            <w:proofErr w:type="spellEnd"/>
            <w:r w:rsidR="00BD7A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A5214">
              <w:rPr>
                <w:rFonts w:asciiTheme="minorHAnsi" w:hAnsiTheme="minorHAnsi"/>
                <w:sz w:val="20"/>
                <w:szCs w:val="20"/>
              </w:rPr>
              <w:t>Lambru</w:t>
            </w:r>
            <w:proofErr w:type="spellEnd"/>
          </w:p>
        </w:tc>
      </w:tr>
      <w:tr w:rsidR="009C189D" w:rsidRPr="00AC6227" w:rsidTr="000C1728">
        <w:trPr>
          <w:trHeight w:val="266"/>
        </w:trPr>
        <w:tc>
          <w:tcPr>
            <w:tcW w:w="281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</w:t>
            </w:r>
            <w:proofErr w:type="spellEnd"/>
            <w:r w:rsidR="00BD7A3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activităţilor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38"/>
        </w:trPr>
        <w:tc>
          <w:tcPr>
            <w:tcW w:w="281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Anul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798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2.5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9C189D" w:rsidRPr="00AC6227" w:rsidRDefault="005D7A4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2.6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Tipul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2.7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Regimul</w:t>
            </w:r>
            <w:proofErr w:type="spellEnd"/>
            <w:r w:rsidR="00BD7A3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9C189D" w:rsidRPr="00AC6227" w:rsidTr="000C1728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189D" w:rsidRPr="00361BF9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>3.Timpul</w:t>
      </w:r>
      <w:proofErr w:type="gramEnd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 xml:space="preserve"> total </w:t>
      </w:r>
      <w:proofErr w:type="spellStart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>estimat</w:t>
      </w:r>
      <w:proofErr w:type="spellEnd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 xml:space="preserve"> (ore </w:t>
      </w:r>
      <w:proofErr w:type="spellStart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>pesemestru</w:t>
      </w:r>
      <w:proofErr w:type="spellEnd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 xml:space="preserve"> al </w:t>
      </w:r>
      <w:proofErr w:type="spellStart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>activităţilordidactice</w:t>
      </w:r>
      <w:proofErr w:type="spellEnd"/>
      <w:r w:rsidR="009C189D" w:rsidRPr="00361BF9">
        <w:rPr>
          <w:rFonts w:asciiTheme="minorHAnsi" w:hAnsiTheme="minorHAnsi"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63"/>
        <w:gridCol w:w="3119"/>
        <w:gridCol w:w="698"/>
        <w:gridCol w:w="30"/>
      </w:tblGrid>
      <w:tr w:rsidR="009C189D" w:rsidRPr="00361BF9" w:rsidTr="00E35921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B5518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3B5518">
              <w:rPr>
                <w:rFonts w:asciiTheme="minorHAnsi" w:hAnsiTheme="minorHAnsi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9C189D" w:rsidRPr="00361BF9">
              <w:rPr>
                <w:rFonts w:asciiTheme="minorHAnsi" w:hAnsiTheme="minorHAnsi" w:cs="Calibri"/>
                <w:sz w:val="20"/>
                <w:szCs w:val="20"/>
              </w:rPr>
              <w:t xml:space="preserve">3.1 </w:t>
            </w:r>
            <w:proofErr w:type="spellStart"/>
            <w:r w:rsidR="009C189D" w:rsidRPr="00361BF9">
              <w:rPr>
                <w:rFonts w:asciiTheme="minorHAnsi" w:hAnsiTheme="minorHAnsi" w:cs="Calibri"/>
                <w:sz w:val="20"/>
                <w:szCs w:val="20"/>
              </w:rPr>
              <w:t>Număr</w:t>
            </w:r>
            <w:proofErr w:type="spellEnd"/>
            <w:r w:rsidR="009C189D" w:rsidRPr="00361BF9">
              <w:rPr>
                <w:rFonts w:asciiTheme="minorHAnsi" w:hAnsiTheme="minorHAnsi" w:cs="Calibri"/>
                <w:sz w:val="20"/>
                <w:szCs w:val="20"/>
              </w:rPr>
              <w:t xml:space="preserve"> de ore </w:t>
            </w:r>
            <w:proofErr w:type="spellStart"/>
            <w:r w:rsidR="009C189D" w:rsidRPr="00361B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</w:p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1BF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361BF9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C189D" w:rsidRPr="00361BF9" w:rsidTr="00E35921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3.4 Total ore din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planul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de</w:t>
            </w:r>
          </w:p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A5214" w:rsidP="00D0717D">
            <w:pPr>
              <w:widowControl w:val="0"/>
              <w:autoSpaceDE w:val="0"/>
              <w:autoSpaceDN w:val="0"/>
              <w:adjustRightInd w:val="0"/>
              <w:spacing w:after="0"/>
              <w:ind w:right="27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361BF9" w:rsidTr="000C1728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Distribuţia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fondului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ore</w:t>
            </w:r>
          </w:p>
        </w:tc>
      </w:tr>
      <w:tr w:rsidR="009C189D" w:rsidRPr="00361BF9" w:rsidTr="000C1728">
        <w:trPr>
          <w:gridAfter w:val="1"/>
          <w:wAfter w:w="30" w:type="dxa"/>
          <w:trHeight w:val="264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Studiul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după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manual,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suport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de curs,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bibliografieşinotiţe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361BF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2</w:t>
            </w:r>
            <w:r w:rsidR="00361BF9" w:rsidRPr="00361B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C189D" w:rsidRPr="00361BF9" w:rsidTr="000C1728">
        <w:trPr>
          <w:gridAfter w:val="1"/>
          <w:wAfter w:w="30" w:type="dxa"/>
          <w:trHeight w:val="267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Documentare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suplimentară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în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bibliotecă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platformele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electronice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specialitate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361BF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2</w:t>
            </w:r>
            <w:r w:rsidR="00361BF9" w:rsidRPr="00361B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C189D" w:rsidRPr="00361BF9" w:rsidTr="000C1728">
        <w:trPr>
          <w:gridAfter w:val="1"/>
          <w:wAfter w:w="30" w:type="dxa"/>
          <w:trHeight w:val="26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Pregătire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seminarii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>/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laboratoare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teme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referate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portofolii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361BF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361BF9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2</w:t>
            </w:r>
            <w:r w:rsidR="00361BF9" w:rsidRPr="00361BF9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9C189D" w:rsidRPr="00361BF9" w:rsidTr="000C1728">
        <w:trPr>
          <w:gridAfter w:val="1"/>
          <w:wAfter w:w="30" w:type="dxa"/>
          <w:trHeight w:val="262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C189D" w:rsidRPr="00361BF9" w:rsidTr="000C1728">
        <w:trPr>
          <w:gridAfter w:val="1"/>
          <w:wAfter w:w="30" w:type="dxa"/>
          <w:trHeight w:val="264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9C189D" w:rsidRPr="00361BF9" w:rsidTr="000C1728">
        <w:trPr>
          <w:gridAfter w:val="1"/>
          <w:wAfter w:w="30" w:type="dxa"/>
          <w:trHeight w:val="272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Alteactivităţi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7</w:t>
            </w:r>
            <w:bookmarkStart w:id="1" w:name="_GoBack"/>
            <w:bookmarkEnd w:id="1"/>
          </w:p>
        </w:tc>
      </w:tr>
      <w:tr w:rsidR="009C189D" w:rsidRPr="00361BF9" w:rsidTr="000C1728">
        <w:trPr>
          <w:gridAfter w:val="1"/>
          <w:wAfter w:w="30" w:type="dxa"/>
          <w:trHeight w:val="260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3.7 Total ore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studiu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361BF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111</w:t>
            </w:r>
          </w:p>
        </w:tc>
      </w:tr>
      <w:tr w:rsidR="009C189D" w:rsidRPr="00361BF9" w:rsidTr="000C1728">
        <w:trPr>
          <w:gridAfter w:val="1"/>
          <w:wAfter w:w="30" w:type="dxa"/>
          <w:trHeight w:val="359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3.9 Total ore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125</w:t>
            </w:r>
          </w:p>
        </w:tc>
      </w:tr>
      <w:tr w:rsidR="009C189D" w:rsidRPr="00AC6227" w:rsidTr="000C1728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3.10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Numărul</w:t>
            </w:r>
            <w:proofErr w:type="spellEnd"/>
            <w:r w:rsidRPr="00361BF9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361BF9">
              <w:rPr>
                <w:rFonts w:asciiTheme="minorHAnsi" w:hAnsiTheme="minorHAnsi"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189D" w:rsidRPr="00361BF9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AC6227" w:rsidRDefault="00AC14D3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1BF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9C189D" w:rsidRPr="00AC6227" w:rsidTr="000C1728">
        <w:trPr>
          <w:gridAfter w:val="1"/>
          <w:wAfter w:w="30" w:type="dxa"/>
          <w:trHeight w:val="474"/>
        </w:trPr>
        <w:tc>
          <w:tcPr>
            <w:tcW w:w="9624" w:type="dxa"/>
            <w:gridSpan w:val="8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C189D" w:rsidRPr="00AC6227" w:rsidTr="000C1728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4.2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C189D" w:rsidRPr="00AC6227" w:rsidTr="000C1728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9C189D" w:rsidRPr="00AC6227" w:rsidTr="000C1728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Condiţii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acoloundeestecazul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C189D" w:rsidRPr="00AC6227" w:rsidTr="000C1728">
        <w:trPr>
          <w:trHeight w:val="169"/>
        </w:trPr>
        <w:tc>
          <w:tcPr>
            <w:tcW w:w="1728" w:type="dxa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5.1.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desfăşurare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E35921" w:rsidRPr="00AC6227" w:rsidRDefault="00E35921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Întâlnirile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 se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desfășura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sub forma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unor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prelegeri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susținute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suport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video (i.e.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prezentări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format power-</w:t>
            </w:r>
            <w:proofErr w:type="gramStart"/>
            <w:r w:rsidRPr="00AC6227">
              <w:rPr>
                <w:rFonts w:asciiTheme="minorHAnsi" w:hAnsiTheme="minorHAnsi"/>
                <w:sz w:val="20"/>
                <w:szCs w:val="20"/>
              </w:rPr>
              <w:t>point )</w:t>
            </w:r>
            <w:proofErr w:type="gram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sunt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invitați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participle active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timpul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Aceștia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gramStart"/>
            <w:r w:rsidRPr="00AC6227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oferi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răspunsuri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puncte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vedere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personale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diverse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întrebări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problem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lansate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fiecare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prelegere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Cursurile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sunt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așa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fel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structurate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încât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ofere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studenților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gramStart"/>
            <w:r w:rsidRPr="00AC6227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înțelege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lastRenderedPageBreak/>
              <w:t>modalitatea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aplicare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metodologiilor</w:t>
            </w:r>
            <w:proofErr w:type="spellEnd"/>
            <w:r w:rsidR="00361BF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prezentate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E35921" w:rsidRPr="00AC6227" w:rsidRDefault="00E35921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35921" w:rsidRPr="00AC6227" w:rsidRDefault="00E35921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facilitării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accesului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informațiile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relevante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conținutul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activităților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gramStart"/>
            <w:r w:rsidRPr="00AC6227">
              <w:rPr>
                <w:rFonts w:asciiTheme="minorHAnsi" w:hAnsiTheme="minorHAnsi"/>
                <w:sz w:val="20"/>
                <w:szCs w:val="20"/>
              </w:rPr>
              <w:t>curs</w:t>
            </w:r>
            <w:proofErr w:type="gram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modalitatea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disciplina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are un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suport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curs, care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contine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informatii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la: syllabus,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resurse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academice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modalitatea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vederea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centrării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învățării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predării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student,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după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fiecare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întalnire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posibilitatea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completa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chestionar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prestației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titularului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chestionar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diseminat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on-line,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pagina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web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Chestionarul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conține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secțiune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observații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comentarii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unde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studenții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pot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oferi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timp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real feedback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aspectele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țin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curs.</w:t>
            </w:r>
          </w:p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169"/>
        </w:trPr>
        <w:tc>
          <w:tcPr>
            <w:tcW w:w="1728" w:type="dxa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desfășurare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seminarului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9C189D" w:rsidRPr="00AC6227" w:rsidTr="000C1728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Competenţelespecificeacumulate</w:t>
            </w:r>
            <w:proofErr w:type="spellEnd"/>
          </w:p>
        </w:tc>
      </w:tr>
      <w:tr w:rsidR="009C189D" w:rsidRPr="00AC6227" w:rsidTr="000C172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9C189D" w:rsidRPr="00AC6227" w:rsidTr="000C172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9C189D" w:rsidRPr="00AC6227" w:rsidTr="000C1728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Obiectiveledisciplinei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reieşind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din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grilacompetenţelorspecificeacumulate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C189D" w:rsidRPr="00AC6227" w:rsidTr="000C1728">
        <w:trPr>
          <w:trHeight w:val="169"/>
        </w:trPr>
        <w:tc>
          <w:tcPr>
            <w:tcW w:w="3168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7.1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Obiectivul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general al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E35921" w:rsidRPr="00AC6227" w:rsidRDefault="00E35921" w:rsidP="00D0717D">
            <w:pPr>
              <w:spacing w:after="0"/>
              <w:jc w:val="both"/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>Cursul</w:t>
            </w:r>
            <w:proofErr w:type="spellEnd"/>
            <w:r w:rsidRPr="00AC6227">
              <w:rPr>
                <w:rFonts w:asciiTheme="minorHAnsi" w:hAnsiTheme="minorHAnsi" w:cs="Calibri"/>
                <w:bCs/>
                <w:color w:val="000000"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Economie</w:t>
            </w:r>
            <w:proofErr w:type="spellEnd"/>
            <w:r w:rsidR="000C1728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bCs/>
                <w:i/>
                <w:color w:val="000000"/>
                <w:kern w:val="36"/>
                <w:sz w:val="20"/>
                <w:szCs w:val="20"/>
              </w:rPr>
              <w:t>socială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are ca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obiectiv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oferirea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informaţie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structurată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privind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problematica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organizațiilor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economie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socială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Pornind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caracteristicile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acestui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tip de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organizație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care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îmbină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obiective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sociale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obiective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economice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sunt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trecute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revistă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abordările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teoretice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şi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dezvoltările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conceptuale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sînt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prezentate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şi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discutate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diversele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variante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instituţionalizare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a 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organizațiilor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economie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social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context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naţionale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şi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nivelul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politicilor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europene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Acest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curs</w:t>
            </w:r>
            <w:proofErr w:type="gram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iși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propune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să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ofere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studenților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informații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sintetice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şi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comprehensive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privind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>organiza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  <w:lang w:val="ro-RO"/>
              </w:rPr>
              <w:t>ț</w:t>
            </w:r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ii</w:t>
            </w:r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precum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cooperativele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obștile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asocia</w:t>
            </w:r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>ț</w:t>
            </w:r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iile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mutuale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organizațiile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neguvernamentale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activitate</w:t>
            </w:r>
            <w:proofErr w:type="spellEnd"/>
            <w:r w:rsidR="000C1728">
              <w:rPr>
                <w:rFonts w:asciiTheme="minorHAnsi" w:hAnsiTheme="minorHAnsi" w:cs="TmspolI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economică</w:t>
            </w:r>
            <w:proofErr w:type="spellEnd"/>
            <w:r w:rsidR="00C214EC" w:rsidRPr="00AC6227">
              <w:rPr>
                <w:rFonts w:asciiTheme="minorHAnsi" w:hAnsiTheme="minorHAnsi" w:cs="TmspolIND"/>
                <w:color w:val="000000"/>
                <w:sz w:val="20"/>
                <w:szCs w:val="20"/>
              </w:rPr>
              <w:t>.</w:t>
            </w:r>
          </w:p>
          <w:p w:rsidR="00E35921" w:rsidRPr="00AC6227" w:rsidRDefault="00E35921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Altfel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spus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curs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oferă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o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perspectivă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privire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la: </w:t>
            </w:r>
          </w:p>
          <w:p w:rsidR="00C214EC" w:rsidRPr="00AC6227" w:rsidRDefault="00E35921" w:rsidP="00D0717D">
            <w:pPr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rolul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sectorului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economiei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dimensiunea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economic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cea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analiza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evaluarea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diferitelor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elemente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specific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economiei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dualitatea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dintre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obiectivele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cele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economice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distribuția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0C1728">
              <w:rPr>
                <w:rFonts w:asciiTheme="minorHAnsi" w:hAnsiTheme="minorHAnsi"/>
                <w:sz w:val="20"/>
                <w:szCs w:val="20"/>
              </w:rPr>
              <w:t>profitului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0C1728">
              <w:rPr>
                <w:rFonts w:asciiTheme="minorHAnsi" w:hAnsiTheme="minorHAnsi"/>
                <w:sz w:val="20"/>
                <w:szCs w:val="20"/>
              </w:rPr>
              <w:t>guvernarea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etc); c) </w:t>
            </w:r>
            <w:r w:rsidR="000C1728">
              <w:rPr>
                <w:rFonts w:asciiTheme="minorHAnsi" w:hAnsiTheme="minorHAnsi"/>
                <w:sz w:val="20"/>
                <w:szCs w:val="20"/>
              </w:rPr>
              <w:t>–</w:t>
            </w:r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utilizarea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diferitelor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concept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analiza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entităților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economie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metodologii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cercetare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analiză</w:t>
            </w:r>
            <w:proofErr w:type="spellEnd"/>
            <w:r w:rsidR="00C214EC" w:rsidRPr="00AC6227">
              <w:rPr>
                <w:rFonts w:asciiTheme="minorHAnsi" w:hAnsiTheme="minorHAnsi"/>
                <w:sz w:val="20"/>
                <w:szCs w:val="20"/>
              </w:rPr>
              <w:t>;</w:t>
            </w:r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extinderea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relevanţe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iconceptelor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şi</w:t>
            </w:r>
            <w:proofErr w:type="spellEnd"/>
            <w:r w:rsidR="00D870C2" w:rsidRPr="00AC6227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enunţurilor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fundamentale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domeniile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="00D870C2"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economice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ş</w:t>
            </w:r>
            <w:r w:rsidR="000C1728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politice</w:t>
            </w:r>
            <w:proofErr w:type="spellEnd"/>
            <w:r w:rsidR="00D870C2" w:rsidRPr="00AC6227">
              <w:rPr>
                <w:rFonts w:asciiTheme="minorHAnsi" w:hAnsiTheme="minorHAnsi"/>
                <w:sz w:val="20"/>
                <w:szCs w:val="20"/>
              </w:rPr>
              <w:t xml:space="preserve"> ale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politicilor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70C2" w:rsidRPr="00AC6227">
              <w:rPr>
                <w:rFonts w:asciiTheme="minorHAnsi" w:hAnsiTheme="minorHAnsi"/>
                <w:sz w:val="20"/>
                <w:szCs w:val="20"/>
              </w:rPr>
              <w:t>publice</w:t>
            </w:r>
            <w:proofErr w:type="spellEnd"/>
            <w:r w:rsidR="00D870C2" w:rsidRPr="00AC622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C189D" w:rsidRPr="00AC6227" w:rsidRDefault="00E35921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acest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sens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transmite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cunoștințe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fundamentale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prezentarea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principalelor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teorii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modele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dezvoltate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cadrul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domeniului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studiu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1728">
              <w:rPr>
                <w:rFonts w:asciiTheme="minorHAnsi" w:hAnsiTheme="minorHAnsi"/>
                <w:sz w:val="20"/>
                <w:szCs w:val="20"/>
              </w:rPr>
              <w:t xml:space="preserve">specific </w:t>
            </w:r>
            <w:proofErr w:type="spellStart"/>
            <w:r w:rsidR="000C1728">
              <w:rPr>
                <w:rFonts w:asciiTheme="minorHAnsi" w:hAnsiTheme="minorHAnsi"/>
                <w:sz w:val="20"/>
                <w:szCs w:val="20"/>
              </w:rPr>
              <w:t>conomiei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214EC"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Diseminarea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cunoștințelor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teoretice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se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varealiza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atât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intermediul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prelegerilor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curs,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cât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exerciții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seminar.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lângă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formarea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profesionale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specifice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cursul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urmărește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să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dezvolte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cursanților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competențe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transversale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pentru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 le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facilita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acestora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pregătirea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integrarea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muncă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fie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continuarea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studiilor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nivelul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ciclurilor</w:t>
            </w:r>
            <w:proofErr w:type="spellEnd"/>
            <w:r w:rsidR="000C172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superioare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C189D" w:rsidRPr="00AC6227" w:rsidTr="000C1728">
        <w:trPr>
          <w:trHeight w:val="169"/>
        </w:trPr>
        <w:tc>
          <w:tcPr>
            <w:tcW w:w="3168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7.2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E35921" w:rsidRPr="00AC6227" w:rsidRDefault="00E35921" w:rsidP="00D0717D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>1) Cursul oferă participanților o perspectivă globală și generală cu privire la caracteristicile și specificu</w:t>
            </w:r>
            <w:r w:rsidR="00D0717D" w:rsidRPr="00AC6227">
              <w:rPr>
                <w:rFonts w:asciiTheme="minorHAnsi" w:hAnsiTheme="minorHAnsi"/>
                <w:sz w:val="20"/>
                <w:szCs w:val="20"/>
                <w:lang w:val="ro-RO"/>
              </w:rPr>
              <w:t>lui analizei fiecărui tip de organizație de economie socială</w:t>
            </w: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>. (2) Cursul facilitează studenților d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obindirea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cunostinte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aprofundate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economiei</w:t>
            </w:r>
            <w:proofErr w:type="spellEnd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sociale </w:t>
            </w:r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,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întelegerea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conceptelor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cheie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domeniul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economiei</w:t>
            </w:r>
            <w:proofErr w:type="spellEnd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sociale și</w:t>
            </w:r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antreprenoriatului</w:t>
            </w:r>
            <w:proofErr w:type="spellEnd"/>
            <w:r w:rsidR="00D0717D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social</w:t>
            </w:r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abilitatea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conecta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lastRenderedPageBreak/>
              <w:t>cunostintele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teoretice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din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acest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domeniu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specific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cu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cele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legate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problemele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concrete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apar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procesul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reforma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şi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management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în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administraţia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publică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  <w:p w:rsidR="00E35921" w:rsidRPr="00AC6227" w:rsidRDefault="00E35921" w:rsidP="00D071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(3) Cursul permite asimilarea vocabularului / limbajului specific utilizat în domeniul de studiu al </w:t>
            </w:r>
            <w:r w:rsidR="00AC6227" w:rsidRPr="00AC6227">
              <w:rPr>
                <w:rFonts w:asciiTheme="minorHAnsi" w:hAnsiTheme="minorHAnsi"/>
                <w:sz w:val="20"/>
                <w:szCs w:val="20"/>
                <w:lang w:val="ro-RO"/>
              </w:rPr>
              <w:t>economieie sociale</w:t>
            </w: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;</w:t>
            </w:r>
          </w:p>
          <w:p w:rsidR="00E35921" w:rsidRPr="00AC6227" w:rsidRDefault="00E35921" w:rsidP="00D071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>(4) Cursul facilitează abordarea critică a diverselor practici organizaționale din zona cercetărilor evaluative;</w:t>
            </w:r>
          </w:p>
          <w:p w:rsidR="009C189D" w:rsidRPr="00AC6227" w:rsidRDefault="00E35921" w:rsidP="00AC622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58"/>
              <w:rPr>
                <w:rFonts w:asciiTheme="minorHAnsi" w:hAnsiTheme="minorHAnsi" w:cs="Arial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(5) Cursul permite dezvoltarea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capacitată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ții de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și</w:t>
            </w:r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analiza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procese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luarea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deciziilor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organiza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iile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economie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(6) Cursul oferă cadrul necesar pentru a crește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capacitatea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  <w:lang w:val="fr-FR"/>
              </w:rPr>
              <w:t>intelege</w:t>
            </w:r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specificul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organiza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iilor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economie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socială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a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roluluilor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dezvoltarea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serviciilor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diverse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pentru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cetă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eni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expu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și la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riscuri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diverse la care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statul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nu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oferă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o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variata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solu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ț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ionare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viabilă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sau</w:t>
            </w:r>
            <w:proofErr w:type="spellEnd"/>
            <w:r w:rsidR="00E74D5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suficientă</w:t>
            </w:r>
            <w:proofErr w:type="spellEnd"/>
            <w:r w:rsidR="00AC6227" w:rsidRPr="00AC6227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9C189D" w:rsidRPr="00AC6227" w:rsidTr="000C1728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9C189D" w:rsidRPr="00AC6227" w:rsidTr="000C1728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Observaţii</w:t>
            </w:r>
            <w:proofErr w:type="spellEnd"/>
          </w:p>
        </w:tc>
      </w:tr>
      <w:tr w:rsidR="009C189D" w:rsidRPr="00AC6227" w:rsidTr="000C172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AC6227" w:rsidRPr="00AC6227" w:rsidRDefault="00AC6227" w:rsidP="00AC622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Concepte</w:t>
            </w:r>
            <w:proofErr w:type="spellEnd"/>
            <w:r w:rsidR="00D927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cheie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economie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cooperative,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mutualități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case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ajutor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reciproc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asociații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ale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proprietarilor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terenuri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agricole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bunuri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comune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organizații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neguvernamentale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unități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protejate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incluziune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dezvoltare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locală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, third sector, etc</w:t>
            </w:r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AC6227">
              <w:rPr>
                <w:rFonts w:asciiTheme="minorHAnsi" w:hAnsiTheme="minorHAnsi"/>
                <w:sz w:val="20"/>
                <w:szCs w:val="20"/>
              </w:rPr>
              <w:t>Curs</w:t>
            </w:r>
            <w:proofErr w:type="gram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introductiv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Definiţii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lucru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concepte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teorii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explicative.</w:t>
            </w:r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Economia</w:t>
            </w:r>
            <w:proofErr w:type="spellEnd"/>
            <w:r w:rsidR="00D927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principii</w:t>
            </w:r>
            <w:proofErr w:type="spellEnd"/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Actori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economiei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sociale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prezentare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generală</w:t>
            </w:r>
            <w:proofErr w:type="spellEnd"/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Entități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economie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Cooperativele</w:t>
            </w:r>
            <w:proofErr w:type="spellEnd"/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Entități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economie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Casele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ajutor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reciproc</w:t>
            </w:r>
            <w:proofErr w:type="spellEnd"/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Entități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economie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Bunuri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comune</w:t>
            </w:r>
            <w:proofErr w:type="spellEnd"/>
          </w:p>
          <w:p w:rsidR="00AC6227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snapToGrid w:val="0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Entități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economie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socială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Organizațiile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neguvernamentale</w:t>
            </w:r>
            <w:proofErr w:type="spellEnd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activitate</w:t>
            </w:r>
            <w:proofErr w:type="spellEnd"/>
            <w:r w:rsidR="00EF704D">
              <w:rPr>
                <w:rFonts w:asciiTheme="minorHAnsi" w:hAnsiTheme="minorHAnsi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napToGrid w:val="0"/>
                <w:sz w:val="20"/>
                <w:szCs w:val="20"/>
              </w:rPr>
              <w:t>economică</w:t>
            </w:r>
            <w:proofErr w:type="spellEnd"/>
          </w:p>
          <w:p w:rsidR="009C189D" w:rsidRPr="00AC6227" w:rsidRDefault="00AC6227" w:rsidP="00AC622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AC622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 xml:space="preserve">Curs </w:t>
            </w:r>
            <w:proofErr w:type="spellStart"/>
            <w:r w:rsidRPr="00AC6227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recapitulativ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:rsidR="009C189D" w:rsidRPr="00AC6227" w:rsidRDefault="00AC6227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învățare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activă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expunere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didactică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dezbatere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tabs>
                <w:tab w:val="left" w:pos="2225"/>
                <w:tab w:val="left" w:pos="5025"/>
                <w:tab w:val="left" w:pos="5515"/>
              </w:tabs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1. Bacchiega, A. Borzaga, C., Social enterprise as an incentive structure, in Borzaga, C. and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Defourny, J.,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Emergence of Social Enterprise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 and New York, Routledge, 2001.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2. Beito, T. D.,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From Mutual Aid to the Welfare State: Fraternal Societies and Social Services,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1890–1967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Chapel Hill, University of North Carolina Press, 2000.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3. Birchall, J.,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New Mutualism in Public Policy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 and New York, Routledge, 2001.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4. Borzaga, C., Defourny, J., (eds.),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Emergence of Social Enterprise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London, Routledge,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2001.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5. Borzaga, C., Santuari, A., Italy: from traditional co-operatives to innovative social enterprises,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in Borzaga, C, Defourny, J., (ed.),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Emergence of Social Enterprise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 and New York,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Routledge, 2003.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6. Broek, S, Buiskool, B. J., Vennekens, A., Horst, R.,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Study on the current situation and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prospects of mutuals in Europe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EU Commission, DG ENTR, 2012.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7. De Swaan, A, van der Linden, M.,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Mutualist microfinance: Informal saving funds from the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Global Perifery to the Core?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Amsterdam, Editura Aksant, 2005.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8. Defourny, J, Develtere, Fonteneau F., (eds.),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L`Economie sociale au Nord et au Sud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Paris-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Bruxelles, De Boeck University, 1999.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9. Defourny, J. Monzon-Campos, J. L. (eds.),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Economie Sociale – The Third Sector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Paris-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lastRenderedPageBreak/>
              <w:t>Bruxelles, De Boeck University, 1992.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10. Defourny, J., Nissens, M., Defining social enterprises, in Nyssens, M., (ed.),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Social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Enterprise. At the crossroads of market, public policies and civil society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 and New York,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Routledge, 2006.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11. Emery, G., Emery, J. C.,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A Young Man`s Benefit The Independent Order of Odd Fellows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and Sickness Insurance in the United States and Canada, 1860-1929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Montreal, McGill-Queens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University Press, 1998.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12. Epure, C., Săulean, D.,,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Defining the non-profit sector: Romania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Civil Society Development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Foundation, working paper for The Johns Hopkins Comparative Nonprofit Sector Project, 1998.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13. Essombe Edimo, J. R.,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Dynamique financiere des tontines: quels enseignements pour le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financement des petites enterprise en Afrique?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in „Revue Tiers Monde”, no. 39, 1998, p. 861.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14. Etzioni, A.,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moral dimension: towards a New Economics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New York, Free Press, 1988.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15. Etzioni, A.,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Spirit of Community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New York, Crown Books, 1993.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16. Evers, A., Laville, J. L., (ed.),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Third sector in Europe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Cheltenham and Northampton,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Edward Elgar Publishing, 2004.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17. Ferguson, C., McKillop, D.,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Strategic Development of Credit Unions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Chichester, John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Wiley, 1997.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18. Geertz, C.,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Rotating Credit Association: A Middle Rung in Development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in „Economic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Development and Cultural Change”, no. 10, 1962.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19. Halsey, A. H.,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Change in British society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Oxford, Oxford University Press, 1978.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17 ASOCIAłIILE DE AJUTOR RECIPROC DIN ROMANIA 173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20. Harris, B., Bridgen, P.,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Charity and Mutual Aid in Europe and North America since 1800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London and New York, Routledge, 2007.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21. Hausner, J., Giza-Poleszczuk, A., Introduction – The Social Economy and Growth”, in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Hausner, J., Giza-Poleszczuk, A., (ed.),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Social economy in Poland: achievements, Barriers to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Growth, and Potential in Light of Research Results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Warsaw, Foundation for Social and Economic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initiatives, 2008.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22. Kellner, P.,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New Mutualism: the Third Way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London, Co-operative Party, 1998.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23. Kropotkin, P.,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Mutual Aid: A Factor of Evolution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London, William Heinemann, 1902.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24. Lambru, M., Vamesu, A., (eds.),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Romania 2010. Sectorul neguvernamental – profil,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tendinŃe, provocări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Bucuresti, Editura Litera, 2010.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25. Laville, J.-L.,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Politique de l’Association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Paris, Edition du Seuil, 2010.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26. Les, E., Jeliaskova, M., The Social Economy in Central East and South East Europe, in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Noya, A., Clarence, E., (ed.),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Social Economy: Building Inclusive Economies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Paris, OECD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Publishing, 2007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27. McPherson, O.,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Hands around the Globe: A history of the International Credit Union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Movement and the Role and Development of the worlds council of Credit Unions Inc. British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Columbia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Wisconsin, Horsdal and Schubart, World Council of Credit Unions, 1999.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28. Murdoch, J.,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The Microfinance Promise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in „Journal of Economic Literature”, no. 37,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1999, p. 1569.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29. Perstoff, V.,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Between Market and State: Social Enterprise and Civil Democracy in a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Welfare State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Achgate, Aldershot, 1998.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30. Proudhon, P. J.,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De la capacite politique des classes ouvrieres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Paris, Editions du Trident,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1865.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 xml:space="preserve">31. Salamon, L., </w:t>
            </w:r>
            <w:r w:rsidRPr="00AC6227">
              <w:rPr>
                <w:rFonts w:asciiTheme="minorHAnsi" w:eastAsia="TimesNewRoman,Italic" w:hAnsiTheme="minorHAnsi" w:cs="TimesNewRoman,Italic"/>
                <w:i/>
                <w:iCs/>
                <w:sz w:val="20"/>
                <w:szCs w:val="20"/>
                <w:lang w:val="ro-RO"/>
              </w:rPr>
              <w:t>Putting the Civil society on the Economic Map of the World</w:t>
            </w: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, in „Annals of</w:t>
            </w:r>
          </w:p>
          <w:p w:rsidR="00AC6227" w:rsidRPr="00AC6227" w:rsidRDefault="00AC6227" w:rsidP="00AC62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</w:pPr>
            <w:r w:rsidRPr="00AC6227">
              <w:rPr>
                <w:rFonts w:asciiTheme="minorHAnsi" w:eastAsia="TimesNewRoman" w:hAnsiTheme="minorHAnsi" w:cs="TimesNewRoman"/>
                <w:sz w:val="20"/>
                <w:szCs w:val="20"/>
                <w:lang w:val="ro-RO"/>
              </w:rPr>
              <w:t>Public and Cooperative Economics”, vol. 81, no. 2, 2010.</w:t>
            </w:r>
          </w:p>
          <w:p w:rsidR="009C189D" w:rsidRPr="00AC6227" w:rsidRDefault="009C189D" w:rsidP="00AC6227">
            <w:pPr>
              <w:pStyle w:val="ListParagraph"/>
              <w:spacing w:line="276" w:lineRule="auto"/>
              <w:jc w:val="left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9C189D" w:rsidRPr="00AC6227" w:rsidTr="000C1728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ind w:left="360" w:hanging="36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C189D" w:rsidRPr="00AC6227" w:rsidRDefault="009C189D" w:rsidP="00D0717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9C189D" w:rsidRPr="00AC6227" w:rsidTr="000C1728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9C189D" w:rsidRPr="00AC6227" w:rsidRDefault="009C189D" w:rsidP="00D071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Coroborarea</w:t>
            </w:r>
            <w:proofErr w:type="spellEnd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validarea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conţinuturilor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disciplinei</w:t>
            </w:r>
            <w:proofErr w:type="spellEnd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 cu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aşteptările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reprezentanţilor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comunităţii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epistemice</w:t>
            </w:r>
            <w:proofErr w:type="spellEnd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asociaţiilor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profesionale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şi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angajatori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reprezentativi</w:t>
            </w:r>
            <w:proofErr w:type="spellEnd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 din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domeniul</w:t>
            </w:r>
            <w:proofErr w:type="spellEnd"/>
            <w:r w:rsidR="00EF704D">
              <w:rPr>
                <w:rFonts w:asciiTheme="minorHAnsi" w:hAnsiTheme="minorHAnsi"/>
                <w:b/>
                <w:sz w:val="20"/>
                <w:szCs w:val="20"/>
              </w:rPr>
              <w:t xml:space="preserve"> afferent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9C189D" w:rsidRPr="00AC6227" w:rsidTr="000C1728">
        <w:trPr>
          <w:trHeight w:val="713"/>
        </w:trPr>
        <w:tc>
          <w:tcPr>
            <w:tcW w:w="9828" w:type="dxa"/>
          </w:tcPr>
          <w:p w:rsidR="009C189D" w:rsidRPr="00AC6227" w:rsidRDefault="002B3FAD" w:rsidP="00D0717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lastRenderedPageBreak/>
              <w:t>Metoda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predare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este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orientată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spre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practica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cazuistica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specialitate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astfel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incat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absolventii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sa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 fie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pregatiti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atat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teoretic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 xml:space="preserve">/epistemic, cat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 w:rsidR="00EF7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2CC">
              <w:rPr>
                <w:rFonts w:asciiTheme="minorHAnsi" w:hAnsiTheme="minorHAnsi"/>
                <w:sz w:val="20"/>
                <w:szCs w:val="20"/>
              </w:rPr>
              <w:t>practic</w:t>
            </w:r>
            <w:proofErr w:type="spellEnd"/>
            <w:r w:rsidRPr="004542C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9C189D" w:rsidRPr="00AC6227" w:rsidTr="000C1728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C6227">
              <w:rPr>
                <w:rFonts w:asciiTheme="minorHAnsi" w:hAnsiTheme="minorHAnsi"/>
                <w:b/>
                <w:sz w:val="20"/>
                <w:szCs w:val="20"/>
              </w:rPr>
              <w:t xml:space="preserve">10. </w:t>
            </w:r>
            <w:proofErr w:type="spellStart"/>
            <w:r w:rsidRPr="00AC6227">
              <w:rPr>
                <w:rFonts w:asciiTheme="minorHAnsi" w:hAnsiTheme="minorHAnsi"/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9C189D" w:rsidRPr="00AC6227" w:rsidTr="000C1728">
        <w:trPr>
          <w:trHeight w:val="190"/>
          <w:jc w:val="center"/>
        </w:trPr>
        <w:tc>
          <w:tcPr>
            <w:tcW w:w="2088" w:type="dxa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10.1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Criterii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10.2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10.3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Pondere</w:t>
            </w:r>
            <w:proofErr w:type="spellEnd"/>
            <w:r w:rsidRPr="00AC6227">
              <w:rPr>
                <w:rFonts w:asciiTheme="minorHAnsi" w:hAnsiTheme="minorHAnsi"/>
                <w:sz w:val="20"/>
                <w:szCs w:val="20"/>
              </w:rPr>
              <w:t xml:space="preserve"> din nota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finală</w:t>
            </w:r>
            <w:proofErr w:type="spellEnd"/>
          </w:p>
        </w:tc>
      </w:tr>
      <w:tr w:rsidR="009C189D" w:rsidRPr="00AC6227" w:rsidTr="000C1728">
        <w:trPr>
          <w:trHeight w:val="455"/>
          <w:jc w:val="center"/>
        </w:trPr>
        <w:tc>
          <w:tcPr>
            <w:tcW w:w="2088" w:type="dxa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9C189D" w:rsidRPr="00AC6227" w:rsidRDefault="002B3FAD" w:rsidP="00D071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9C189D" w:rsidRDefault="002B3FAD" w:rsidP="00D0717D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scris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intrebari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sinteză</w:t>
            </w:r>
            <w:proofErr w:type="spellEnd"/>
          </w:p>
          <w:p w:rsidR="002B3FAD" w:rsidRPr="00AC6227" w:rsidRDefault="002B3FAD" w:rsidP="00D0717D">
            <w:pPr>
              <w:spacing w:after="0"/>
              <w:ind w:left="-2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Prezenta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curs</w:t>
            </w:r>
          </w:p>
        </w:tc>
        <w:tc>
          <w:tcPr>
            <w:tcW w:w="1440" w:type="dxa"/>
          </w:tcPr>
          <w:p w:rsidR="009C189D" w:rsidRDefault="002B3FA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2B3FAD" w:rsidRPr="00AC6227" w:rsidRDefault="002B3FA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</w:tr>
      <w:tr w:rsidR="009C189D" w:rsidRPr="00AC6227" w:rsidTr="000C1728">
        <w:trPr>
          <w:trHeight w:val="548"/>
          <w:jc w:val="center"/>
        </w:trPr>
        <w:tc>
          <w:tcPr>
            <w:tcW w:w="2088" w:type="dxa"/>
            <w:vAlign w:val="center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>10.5 Seminar/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9C189D" w:rsidRPr="00AC6227" w:rsidRDefault="009C189D" w:rsidP="00D0717D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170"/>
          <w:jc w:val="center"/>
        </w:trPr>
        <w:tc>
          <w:tcPr>
            <w:tcW w:w="9828" w:type="dxa"/>
            <w:gridSpan w:val="4"/>
          </w:tcPr>
          <w:p w:rsidR="009C189D" w:rsidRPr="00AC6227" w:rsidRDefault="009C189D" w:rsidP="00D0717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/>
                <w:sz w:val="20"/>
                <w:szCs w:val="20"/>
              </w:rPr>
              <w:t xml:space="preserve">10.6 Standard minim de </w:t>
            </w:r>
            <w:proofErr w:type="spellStart"/>
            <w:r w:rsidRPr="00AC6227">
              <w:rPr>
                <w:rFonts w:asciiTheme="minorHAnsi" w:hAnsiTheme="minorHAnsi"/>
                <w:sz w:val="20"/>
                <w:szCs w:val="20"/>
              </w:rPr>
              <w:t>performanţă</w:t>
            </w:r>
            <w:proofErr w:type="spellEnd"/>
          </w:p>
        </w:tc>
      </w:tr>
      <w:tr w:rsidR="009C189D" w:rsidRPr="00AC6227" w:rsidTr="000C1728">
        <w:trPr>
          <w:trHeight w:val="471"/>
          <w:jc w:val="center"/>
        </w:trPr>
        <w:tc>
          <w:tcPr>
            <w:tcW w:w="9828" w:type="dxa"/>
            <w:gridSpan w:val="4"/>
          </w:tcPr>
          <w:p w:rsidR="009C189D" w:rsidRPr="00AC6227" w:rsidRDefault="002B3FAD" w:rsidP="00D0717D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AC6227">
        <w:rPr>
          <w:rFonts w:asciiTheme="minorHAnsi" w:hAnsiTheme="minorHAnsi"/>
          <w:sz w:val="20"/>
          <w:szCs w:val="20"/>
        </w:rPr>
        <w:t xml:space="preserve">Data </w:t>
      </w:r>
      <w:proofErr w:type="spellStart"/>
      <w:r w:rsidRPr="00AC6227">
        <w:rPr>
          <w:rFonts w:asciiTheme="minorHAnsi" w:hAnsiTheme="minorHAnsi"/>
          <w:sz w:val="20"/>
          <w:szCs w:val="20"/>
        </w:rPr>
        <w:t>completarii</w:t>
      </w:r>
      <w:proofErr w:type="spellEnd"/>
      <w:r w:rsidRPr="00AC6227">
        <w:rPr>
          <w:rFonts w:asciiTheme="minorHAnsi" w:hAnsiTheme="minorHAnsi"/>
          <w:sz w:val="20"/>
          <w:szCs w:val="20"/>
        </w:rPr>
        <w:tab/>
      </w:r>
      <w:r w:rsidRPr="00AC6227">
        <w:rPr>
          <w:rFonts w:asciiTheme="minorHAnsi" w:hAnsiTheme="minorHAnsi"/>
          <w:sz w:val="20"/>
          <w:szCs w:val="20"/>
        </w:rPr>
        <w:tab/>
      </w:r>
      <w:r w:rsidRPr="00AC6227">
        <w:rPr>
          <w:rFonts w:asciiTheme="minorHAnsi" w:hAnsiTheme="minorHAnsi"/>
          <w:sz w:val="20"/>
          <w:szCs w:val="20"/>
        </w:rPr>
        <w:tab/>
      </w:r>
      <w:proofErr w:type="spellStart"/>
      <w:r w:rsidRPr="00AC6227">
        <w:rPr>
          <w:rFonts w:asciiTheme="minorHAnsi" w:hAnsiTheme="minorHAnsi"/>
          <w:sz w:val="20"/>
          <w:szCs w:val="20"/>
        </w:rPr>
        <w:t>Semnatura</w:t>
      </w:r>
      <w:proofErr w:type="spellEnd"/>
      <w:r w:rsidRPr="00AC6227">
        <w:rPr>
          <w:rFonts w:asciiTheme="minorHAnsi" w:hAnsiTheme="minorHAnsi"/>
          <w:sz w:val="20"/>
          <w:szCs w:val="20"/>
        </w:rPr>
        <w:t xml:space="preserve"> titular curs</w:t>
      </w:r>
      <w:r w:rsidRPr="00AC6227">
        <w:rPr>
          <w:rFonts w:asciiTheme="minorHAnsi" w:hAnsiTheme="minorHAnsi"/>
          <w:sz w:val="20"/>
          <w:szCs w:val="20"/>
        </w:rPr>
        <w:tab/>
      </w:r>
      <w:r w:rsidRPr="00AC6227">
        <w:rPr>
          <w:rFonts w:asciiTheme="minorHAnsi" w:hAnsiTheme="minorHAnsi"/>
          <w:sz w:val="20"/>
          <w:szCs w:val="20"/>
        </w:rPr>
        <w:tab/>
      </w:r>
      <w:proofErr w:type="spellStart"/>
      <w:r w:rsidRPr="00AC6227">
        <w:rPr>
          <w:rFonts w:asciiTheme="minorHAnsi" w:hAnsiTheme="minorHAnsi"/>
          <w:sz w:val="20"/>
          <w:szCs w:val="20"/>
        </w:rPr>
        <w:t>Semnatura</w:t>
      </w:r>
      <w:proofErr w:type="spellEnd"/>
      <w:r w:rsidR="0083206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C6227">
        <w:rPr>
          <w:rFonts w:asciiTheme="minorHAnsi" w:hAnsiTheme="minorHAnsi"/>
          <w:sz w:val="20"/>
          <w:szCs w:val="20"/>
        </w:rPr>
        <w:t>titularului</w:t>
      </w:r>
      <w:proofErr w:type="spellEnd"/>
      <w:r w:rsidRPr="00AC6227">
        <w:rPr>
          <w:rFonts w:asciiTheme="minorHAnsi" w:hAnsiTheme="minorHAnsi"/>
          <w:sz w:val="20"/>
          <w:szCs w:val="20"/>
        </w:rPr>
        <w:t xml:space="preserve"> de seminar</w:t>
      </w:r>
    </w:p>
    <w:p w:rsidR="009C189D" w:rsidRPr="00AC6227" w:rsidRDefault="00832066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01.03.2019</w:t>
      </w:r>
    </w:p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bookmarkStart w:id="3" w:name="page4"/>
      <w:bookmarkEnd w:id="3"/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ind w:left="3340"/>
        <w:rPr>
          <w:rFonts w:asciiTheme="minorHAnsi" w:hAnsiTheme="minorHAnsi"/>
          <w:sz w:val="20"/>
          <w:szCs w:val="20"/>
        </w:rPr>
      </w:pPr>
      <w:bookmarkStart w:id="4" w:name="page5"/>
      <w:bookmarkEnd w:id="4"/>
      <w:r w:rsidRPr="00AC6227">
        <w:rPr>
          <w:rFonts w:asciiTheme="minorHAnsi" w:hAnsiTheme="minorHAnsi" w:cs="Calibri"/>
          <w:b/>
          <w:bCs/>
          <w:sz w:val="20"/>
          <w:szCs w:val="20"/>
        </w:rPr>
        <w:t>ANEXĂ LA FIŞA DISCIPLINEI</w:t>
      </w: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b. </w:t>
      </w:r>
      <w:proofErr w:type="spellStart"/>
      <w:r w:rsidRPr="00AC6227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AC6227">
        <w:rPr>
          <w:rFonts w:asciiTheme="minorHAnsi" w:hAnsiTheme="minorHAnsi" w:cs="Calibri"/>
          <w:b/>
          <w:bCs/>
          <w:sz w:val="20"/>
          <w:szCs w:val="20"/>
        </w:rPr>
        <w:t>mărire</w:t>
      </w:r>
      <w:proofErr w:type="spellEnd"/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 de </w:t>
      </w:r>
      <w:proofErr w:type="spellStart"/>
      <w:r w:rsidRPr="00AC6227">
        <w:rPr>
          <w:rFonts w:asciiTheme="minorHAnsi" w:hAnsiTheme="minorHAnsi" w:cs="Calibri"/>
          <w:b/>
          <w:bCs/>
          <w:sz w:val="20"/>
          <w:szCs w:val="20"/>
        </w:rPr>
        <w:t>notă</w:t>
      </w:r>
      <w:proofErr w:type="spellEnd"/>
    </w:p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9C189D" w:rsidRPr="00AC6227" w:rsidTr="000C1728">
        <w:trPr>
          <w:trHeight w:val="300"/>
        </w:trPr>
        <w:tc>
          <w:tcPr>
            <w:tcW w:w="2447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3"/>
        </w:trPr>
        <w:tc>
          <w:tcPr>
            <w:tcW w:w="2447" w:type="dxa"/>
            <w:vMerge w:val="restart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9C189D" w:rsidRPr="00AC6227" w:rsidRDefault="002B3FA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9C189D" w:rsidRPr="00AC6227" w:rsidRDefault="009F4E9F" w:rsidP="004B4DA7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insușirea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398" w:type="dxa"/>
            <w:vMerge w:val="restart"/>
          </w:tcPr>
          <w:p w:rsidR="009C189D" w:rsidRDefault="00196209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  <w:p w:rsidR="00196209" w:rsidRPr="00AC6227" w:rsidRDefault="00196209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3"/>
        </w:trPr>
        <w:tc>
          <w:tcPr>
            <w:tcW w:w="2447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70"/>
        </w:trPr>
        <w:tc>
          <w:tcPr>
            <w:tcW w:w="2447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3"/>
        </w:trPr>
        <w:tc>
          <w:tcPr>
            <w:tcW w:w="2447" w:type="dxa"/>
            <w:vMerge w:val="restart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 w:cs="Calibr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10.5 Seminar/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9C189D" w:rsidRPr="00AC6227" w:rsidRDefault="009C189D" w:rsidP="00D0717D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89"/>
        </w:trPr>
        <w:tc>
          <w:tcPr>
            <w:tcW w:w="2447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172"/>
        </w:trPr>
        <w:tc>
          <w:tcPr>
            <w:tcW w:w="2447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3"/>
        </w:trPr>
        <w:tc>
          <w:tcPr>
            <w:tcW w:w="9680" w:type="dxa"/>
            <w:gridSpan w:val="5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6"/>
        </w:trPr>
        <w:tc>
          <w:tcPr>
            <w:tcW w:w="9680" w:type="dxa"/>
            <w:gridSpan w:val="5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26"/>
        </w:trPr>
        <w:tc>
          <w:tcPr>
            <w:tcW w:w="2447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442"/>
        </w:trPr>
        <w:tc>
          <w:tcPr>
            <w:tcW w:w="2447" w:type="dxa"/>
            <w:vAlign w:val="bottom"/>
          </w:tcPr>
          <w:p w:rsidR="009C189D" w:rsidRPr="00AC6227" w:rsidRDefault="00832066" w:rsidP="00832066">
            <w:pPr>
              <w:widowControl w:val="0"/>
              <w:autoSpaceDE w:val="0"/>
              <w:autoSpaceDN w:val="0"/>
              <w:adjustRightInd w:val="0"/>
              <w:spacing w:after="0"/>
              <w:ind w:right="71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01.03</w:t>
            </w:r>
            <w:r w:rsidR="009C189D" w:rsidRPr="00AC6227">
              <w:rPr>
                <w:rFonts w:asciiTheme="minorHAnsi" w:hAnsiTheme="minorHAnsi" w:cs="Calibri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0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0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59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59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59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  <w:r w:rsidR="00832066">
        <w:rPr>
          <w:rFonts w:asciiTheme="minorHAnsi" w:hAnsiTheme="minorHAnsi"/>
          <w:sz w:val="20"/>
          <w:szCs w:val="20"/>
        </w:rPr>
        <w:t xml:space="preserve"> </w:t>
      </w: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c. </w:t>
      </w:r>
      <w:proofErr w:type="spellStart"/>
      <w:r w:rsidRPr="00AC6227">
        <w:rPr>
          <w:rFonts w:asciiTheme="minorHAnsi" w:hAnsiTheme="minorHAnsi" w:cs="Calibri"/>
          <w:b/>
          <w:bCs/>
          <w:sz w:val="20"/>
          <w:szCs w:val="20"/>
        </w:rPr>
        <w:t>Evaluare</w:t>
      </w:r>
      <w:proofErr w:type="spellEnd"/>
      <w:r w:rsidRPr="00AC6227">
        <w:rPr>
          <w:rFonts w:asciiTheme="minorHAnsi" w:hAnsiTheme="minorHAnsi" w:cs="Calibri"/>
          <w:b/>
          <w:bCs/>
          <w:sz w:val="20"/>
          <w:szCs w:val="20"/>
        </w:rPr>
        <w:t xml:space="preserve"> – </w:t>
      </w:r>
      <w:proofErr w:type="spellStart"/>
      <w:r w:rsidRPr="00AC6227">
        <w:rPr>
          <w:rFonts w:asciiTheme="minorHAnsi" w:hAnsiTheme="minorHAnsi" w:cs="Calibri"/>
          <w:b/>
          <w:bCs/>
          <w:sz w:val="20"/>
          <w:szCs w:val="20"/>
        </w:rPr>
        <w:t>restanţă</w:t>
      </w:r>
      <w:proofErr w:type="spellEnd"/>
    </w:p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596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594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9C189D" w:rsidRPr="00AC6227" w:rsidTr="000C1728">
        <w:trPr>
          <w:trHeight w:val="303"/>
        </w:trPr>
        <w:tc>
          <w:tcPr>
            <w:tcW w:w="2445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Tip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10.1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Criterii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>Metode</w:t>
            </w:r>
            <w:proofErr w:type="spellEnd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9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10.3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Pondere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din nota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1"/>
        </w:trPr>
        <w:tc>
          <w:tcPr>
            <w:tcW w:w="2445" w:type="dxa"/>
            <w:vMerge w:val="restart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9C189D" w:rsidRPr="00AC6227" w:rsidRDefault="00196209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9C189D" w:rsidRPr="00AC6227" w:rsidRDefault="00196209" w:rsidP="004B4DA7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Participarea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50% din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activitățile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didactice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și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insușirea</w:t>
            </w:r>
            <w:proofErr w:type="spellEnd"/>
            <w:r w:rsidR="00832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conceptelor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bază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400" w:type="dxa"/>
            <w:vMerge w:val="restart"/>
          </w:tcPr>
          <w:p w:rsidR="009C189D" w:rsidRDefault="00196209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50%</w:t>
            </w:r>
          </w:p>
          <w:p w:rsidR="00196209" w:rsidRPr="00AC6227" w:rsidRDefault="00196209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4"/>
        </w:trPr>
        <w:tc>
          <w:tcPr>
            <w:tcW w:w="2445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70"/>
        </w:trPr>
        <w:tc>
          <w:tcPr>
            <w:tcW w:w="2445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8"/>
        </w:trPr>
        <w:tc>
          <w:tcPr>
            <w:tcW w:w="2445" w:type="dxa"/>
            <w:vMerge w:val="restart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9C189D" w:rsidRPr="00AC6227" w:rsidRDefault="009C189D" w:rsidP="00D0717D">
            <w:pPr>
              <w:spacing w:after="0"/>
              <w:ind w:left="-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84"/>
        </w:trPr>
        <w:tc>
          <w:tcPr>
            <w:tcW w:w="2445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99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172"/>
        </w:trPr>
        <w:tc>
          <w:tcPr>
            <w:tcW w:w="2445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3"/>
        </w:trPr>
        <w:tc>
          <w:tcPr>
            <w:tcW w:w="9685" w:type="dxa"/>
            <w:gridSpan w:val="5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10.6 Standard minim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66"/>
        </w:trPr>
        <w:tc>
          <w:tcPr>
            <w:tcW w:w="9685" w:type="dxa"/>
            <w:gridSpan w:val="5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Participarea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la 50% din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activităţile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didactice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şi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însuşirea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conceptelor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bază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228"/>
        </w:trPr>
        <w:tc>
          <w:tcPr>
            <w:tcW w:w="2445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left="7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490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Semnătura</w:t>
            </w:r>
            <w:proofErr w:type="spellEnd"/>
            <w:r w:rsidR="008320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C6227">
              <w:rPr>
                <w:rFonts w:asciiTheme="minorHAnsi" w:hAnsiTheme="minorHAnsi" w:cs="Calibri"/>
                <w:sz w:val="20"/>
                <w:szCs w:val="20"/>
              </w:rPr>
              <w:t>titularului</w:t>
            </w:r>
            <w:proofErr w:type="spellEnd"/>
            <w:r w:rsidRPr="00AC6227">
              <w:rPr>
                <w:rFonts w:asciiTheme="minorHAnsi" w:hAnsiTheme="minorHAnsi"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189D" w:rsidRPr="00AC6227" w:rsidTr="000C1728">
        <w:trPr>
          <w:trHeight w:val="599"/>
        </w:trPr>
        <w:tc>
          <w:tcPr>
            <w:tcW w:w="2445" w:type="dxa"/>
            <w:vAlign w:val="bottom"/>
          </w:tcPr>
          <w:p w:rsidR="009C189D" w:rsidRPr="00AC6227" w:rsidRDefault="00832066" w:rsidP="00D071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01.03</w:t>
            </w:r>
            <w:r w:rsidR="009C189D" w:rsidRPr="00AC6227">
              <w:rPr>
                <w:rFonts w:asciiTheme="minorHAnsi" w:hAnsiTheme="minorHAnsi" w:cs="Calibri"/>
                <w:w w:val="99"/>
                <w:sz w:val="20"/>
                <w:szCs w:val="20"/>
              </w:rPr>
              <w:t>.201</w:t>
            </w: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ind w:right="111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C6227">
              <w:rPr>
                <w:rFonts w:asciiTheme="minorHAnsi" w:hAnsiTheme="minorHAnsi"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9C189D" w:rsidRPr="00AC6227" w:rsidRDefault="009C189D" w:rsidP="00D07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189D" w:rsidRPr="00AC6227" w:rsidRDefault="003B5518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6" o:spid="_x0000_s1040" style="position:absolute;margin-left:-.05pt;margin-top:-145.6pt;width:1.05pt;height:1pt;z-index:-25159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59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59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59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58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58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58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58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58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58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58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58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3B5518">
        <w:rPr>
          <w:rFonts w:asciiTheme="minorHAnsi" w:hAnsiTheme="minorHAnsi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58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9C189D" w:rsidRPr="00AC6227" w:rsidRDefault="009C189D" w:rsidP="00D0717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C189D" w:rsidRPr="00AC6227" w:rsidRDefault="009C189D" w:rsidP="00D0717D">
      <w:pPr>
        <w:rPr>
          <w:rFonts w:asciiTheme="minorHAnsi" w:hAnsiTheme="minorHAnsi"/>
          <w:sz w:val="20"/>
          <w:szCs w:val="20"/>
        </w:rPr>
      </w:pPr>
    </w:p>
    <w:p w:rsidR="00707FEE" w:rsidRPr="00AC6227" w:rsidRDefault="00707FEE" w:rsidP="00D0717D">
      <w:pPr>
        <w:rPr>
          <w:rFonts w:asciiTheme="minorHAnsi" w:hAnsiTheme="minorHAnsi"/>
          <w:sz w:val="20"/>
          <w:szCs w:val="20"/>
        </w:rPr>
      </w:pPr>
    </w:p>
    <w:sectPr w:rsidR="00707FEE" w:rsidRPr="00AC6227" w:rsidSect="000C1728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polIN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526D"/>
    <w:multiLevelType w:val="hybridMultilevel"/>
    <w:tmpl w:val="0D9EC1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189D"/>
    <w:rsid w:val="000C1728"/>
    <w:rsid w:val="00196209"/>
    <w:rsid w:val="00231FC1"/>
    <w:rsid w:val="002B3FAD"/>
    <w:rsid w:val="002E0D05"/>
    <w:rsid w:val="00361BF9"/>
    <w:rsid w:val="00367AB6"/>
    <w:rsid w:val="003A5214"/>
    <w:rsid w:val="003B5518"/>
    <w:rsid w:val="003C15CA"/>
    <w:rsid w:val="004B4DA7"/>
    <w:rsid w:val="005D7A49"/>
    <w:rsid w:val="00707FEE"/>
    <w:rsid w:val="00832066"/>
    <w:rsid w:val="009C189D"/>
    <w:rsid w:val="009F4E9F"/>
    <w:rsid w:val="00AC14D3"/>
    <w:rsid w:val="00AC6227"/>
    <w:rsid w:val="00BD7A38"/>
    <w:rsid w:val="00C214EC"/>
    <w:rsid w:val="00D0717D"/>
    <w:rsid w:val="00D870C2"/>
    <w:rsid w:val="00D9274D"/>
    <w:rsid w:val="00E35921"/>
    <w:rsid w:val="00E74D51"/>
    <w:rsid w:val="00E76194"/>
    <w:rsid w:val="00E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8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C189D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Pa54">
    <w:name w:val="Pa54"/>
    <w:basedOn w:val="Normal"/>
    <w:next w:val="Normal"/>
    <w:uiPriority w:val="99"/>
    <w:rsid w:val="00AC6227"/>
    <w:pPr>
      <w:autoSpaceDE w:val="0"/>
      <w:autoSpaceDN w:val="0"/>
      <w:adjustRightInd w:val="0"/>
      <w:spacing w:after="0" w:line="20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paragraph" w:customStyle="1" w:styleId="Pa19">
    <w:name w:val="Pa19"/>
    <w:basedOn w:val="Normal"/>
    <w:next w:val="Normal"/>
    <w:uiPriority w:val="99"/>
    <w:rsid w:val="00AC6227"/>
    <w:pPr>
      <w:autoSpaceDE w:val="0"/>
      <w:autoSpaceDN w:val="0"/>
      <w:adjustRightInd w:val="0"/>
      <w:spacing w:after="0" w:line="16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paragraph" w:customStyle="1" w:styleId="Pa18">
    <w:name w:val="Pa18"/>
    <w:basedOn w:val="Normal"/>
    <w:next w:val="Normal"/>
    <w:uiPriority w:val="99"/>
    <w:rsid w:val="00AC6227"/>
    <w:pPr>
      <w:autoSpaceDE w:val="0"/>
      <w:autoSpaceDN w:val="0"/>
      <w:adjustRightInd w:val="0"/>
      <w:spacing w:after="0" w:line="24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character" w:customStyle="1" w:styleId="A2">
    <w:name w:val="A2"/>
    <w:uiPriority w:val="99"/>
    <w:rsid w:val="00AC6227"/>
    <w:rPr>
      <w:rFonts w:cs="TmspolIND"/>
      <w:color w:val="000000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AC6227"/>
    <w:pPr>
      <w:autoSpaceDE w:val="0"/>
      <w:autoSpaceDN w:val="0"/>
      <w:adjustRightInd w:val="0"/>
      <w:spacing w:after="0" w:line="241" w:lineRule="atLeast"/>
    </w:pPr>
    <w:rPr>
      <w:rFonts w:ascii="TmspolIND" w:eastAsiaTheme="minorHAnsi" w:hAnsi="TmspolIND" w:cstheme="minorBidi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9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8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C189D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Pa54">
    <w:name w:val="Pa54"/>
    <w:basedOn w:val="Normal"/>
    <w:next w:val="Normal"/>
    <w:uiPriority w:val="99"/>
    <w:rsid w:val="00AC6227"/>
    <w:pPr>
      <w:autoSpaceDE w:val="0"/>
      <w:autoSpaceDN w:val="0"/>
      <w:adjustRightInd w:val="0"/>
      <w:spacing w:after="0" w:line="20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paragraph" w:customStyle="1" w:styleId="Pa19">
    <w:name w:val="Pa19"/>
    <w:basedOn w:val="Normal"/>
    <w:next w:val="Normal"/>
    <w:uiPriority w:val="99"/>
    <w:rsid w:val="00AC6227"/>
    <w:pPr>
      <w:autoSpaceDE w:val="0"/>
      <w:autoSpaceDN w:val="0"/>
      <w:adjustRightInd w:val="0"/>
      <w:spacing w:after="0" w:line="16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paragraph" w:customStyle="1" w:styleId="Pa18">
    <w:name w:val="Pa18"/>
    <w:basedOn w:val="Normal"/>
    <w:next w:val="Normal"/>
    <w:uiPriority w:val="99"/>
    <w:rsid w:val="00AC6227"/>
    <w:pPr>
      <w:autoSpaceDE w:val="0"/>
      <w:autoSpaceDN w:val="0"/>
      <w:adjustRightInd w:val="0"/>
      <w:spacing w:after="0" w:line="241" w:lineRule="atLeast"/>
    </w:pPr>
    <w:rPr>
      <w:rFonts w:ascii="TmspolIND" w:eastAsiaTheme="minorHAnsi" w:hAnsi="TmspolIND" w:cstheme="minorBidi"/>
      <w:sz w:val="24"/>
      <w:szCs w:val="24"/>
      <w:lang w:val="ro-RO"/>
    </w:rPr>
  </w:style>
  <w:style w:type="character" w:customStyle="1" w:styleId="A2">
    <w:name w:val="A2"/>
    <w:uiPriority w:val="99"/>
    <w:rsid w:val="00AC6227"/>
    <w:rPr>
      <w:rFonts w:cs="TmspolIND"/>
      <w:color w:val="000000"/>
      <w:sz w:val="16"/>
      <w:szCs w:val="16"/>
    </w:rPr>
  </w:style>
  <w:style w:type="paragraph" w:customStyle="1" w:styleId="Pa20">
    <w:name w:val="Pa20"/>
    <w:basedOn w:val="Normal"/>
    <w:next w:val="Normal"/>
    <w:uiPriority w:val="99"/>
    <w:rsid w:val="00AC6227"/>
    <w:pPr>
      <w:autoSpaceDE w:val="0"/>
      <w:autoSpaceDN w:val="0"/>
      <w:adjustRightInd w:val="0"/>
      <w:spacing w:after="0" w:line="241" w:lineRule="atLeast"/>
    </w:pPr>
    <w:rPr>
      <w:rFonts w:ascii="TmspolIND" w:eastAsiaTheme="minorHAnsi" w:hAnsi="TmspolIND" w:cstheme="minorBidi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18</cp:revision>
  <dcterms:created xsi:type="dcterms:W3CDTF">2019-02-28T11:08:00Z</dcterms:created>
  <dcterms:modified xsi:type="dcterms:W3CDTF">2019-03-04T19:16:00Z</dcterms:modified>
</cp:coreProperties>
</file>